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B0B0" w14:textId="77777777" w:rsidR="00CA2D07" w:rsidRDefault="00825FFD">
      <w:pPr>
        <w:pStyle w:val="BodyText"/>
        <w:spacing w:before="85"/>
        <w:ind w:left="8197"/>
      </w:pPr>
      <w:bookmarkStart w:id="0" w:name="_GoBack"/>
      <w:bookmarkEnd w:id="0"/>
      <w:r>
        <w:rPr>
          <w:w w:val="105"/>
        </w:rPr>
        <w:t xml:space="preserve">Date </w:t>
      </w:r>
      <w:proofErr w:type="spellStart"/>
      <w:r>
        <w:rPr>
          <w:w w:val="105"/>
        </w:rPr>
        <w:t>xxxxx</w:t>
      </w:r>
      <w:proofErr w:type="spellEnd"/>
    </w:p>
    <w:p w14:paraId="13FD567A" w14:textId="2BAFCE3B" w:rsidR="00CA2D07" w:rsidRDefault="00CA2D07">
      <w:pPr>
        <w:pStyle w:val="BodyText"/>
        <w:spacing w:before="4"/>
        <w:rPr>
          <w:sz w:val="36"/>
        </w:rPr>
      </w:pPr>
    </w:p>
    <w:p w14:paraId="78EB54FE" w14:textId="77777777" w:rsidR="00CA2D07" w:rsidRDefault="00825FFD" w:rsidP="00CF37CD">
      <w:pPr>
        <w:pStyle w:val="BodyText"/>
        <w:spacing w:line="276" w:lineRule="auto"/>
        <w:ind w:left="121"/>
        <w:jc w:val="both"/>
      </w:pPr>
      <w:r>
        <w:rPr>
          <w:w w:val="105"/>
        </w:rPr>
        <w:t>Dear Minister of Finance for [insert country and name],</w:t>
      </w:r>
    </w:p>
    <w:p w14:paraId="772889D5" w14:textId="77777777" w:rsidR="00CA2D07" w:rsidRDefault="00CA2D07" w:rsidP="00CF37CD">
      <w:pPr>
        <w:pStyle w:val="BodyText"/>
        <w:spacing w:before="8" w:line="276" w:lineRule="auto"/>
        <w:rPr>
          <w:sz w:val="20"/>
        </w:rPr>
      </w:pPr>
    </w:p>
    <w:p w14:paraId="2EEDB85F" w14:textId="1D77CA98" w:rsidR="00F9521B" w:rsidRDefault="00825FFD" w:rsidP="00CF37CD">
      <w:pPr>
        <w:pStyle w:val="BodyText"/>
        <w:spacing w:line="276" w:lineRule="auto"/>
        <w:ind w:left="121" w:right="116"/>
        <w:jc w:val="both"/>
        <w:rPr>
          <w:w w:val="105"/>
        </w:rPr>
      </w:pPr>
      <w:r>
        <w:rPr>
          <w:w w:val="105"/>
        </w:rPr>
        <w:t xml:space="preserve">On behalf of </w:t>
      </w:r>
      <w:r w:rsidR="00816154">
        <w:rPr>
          <w:w w:val="105"/>
        </w:rPr>
        <w:t>[insert here name of national platform/</w:t>
      </w:r>
      <w:proofErr w:type="spellStart"/>
      <w:r w:rsidR="00816154">
        <w:rPr>
          <w:w w:val="105"/>
        </w:rPr>
        <w:t>organisation</w:t>
      </w:r>
      <w:proofErr w:type="spellEnd"/>
      <w:r w:rsidR="00816154">
        <w:rPr>
          <w:w w:val="105"/>
        </w:rPr>
        <w:t>],</w:t>
      </w:r>
      <w:r>
        <w:rPr>
          <w:w w:val="105"/>
        </w:rPr>
        <w:t xml:space="preserve"> we are writing to express our concern</w:t>
      </w:r>
      <w:r w:rsidR="004E1B58">
        <w:rPr>
          <w:w w:val="105"/>
        </w:rPr>
        <w:t xml:space="preserve">s regarding </w:t>
      </w:r>
      <w:r w:rsidR="00695253">
        <w:rPr>
          <w:w w:val="105"/>
        </w:rPr>
        <w:t>the EU budget 2018 negotiations</w:t>
      </w:r>
      <w:r w:rsidR="00F9521B">
        <w:rPr>
          <w:w w:val="105"/>
        </w:rPr>
        <w:t>, referring in particular to Heading 4 – Global Europe</w:t>
      </w:r>
      <w:r w:rsidR="00695253">
        <w:rPr>
          <w:w w:val="105"/>
        </w:rPr>
        <w:t xml:space="preserve">. </w:t>
      </w:r>
    </w:p>
    <w:p w14:paraId="02E8EC80" w14:textId="18F3A782" w:rsidR="00F9521B" w:rsidRDefault="00F9521B" w:rsidP="00CF37CD">
      <w:pPr>
        <w:pStyle w:val="BodyText"/>
        <w:spacing w:line="276" w:lineRule="auto"/>
        <w:ind w:left="121" w:right="116"/>
        <w:jc w:val="both"/>
        <w:rPr>
          <w:w w:val="105"/>
        </w:rPr>
      </w:pPr>
    </w:p>
    <w:p w14:paraId="4107005A" w14:textId="2D263376" w:rsidR="00F9521B" w:rsidRDefault="00F9521B" w:rsidP="00D8347C">
      <w:pPr>
        <w:pStyle w:val="BodyText"/>
        <w:spacing w:line="276" w:lineRule="auto"/>
        <w:ind w:left="121" w:right="116"/>
        <w:jc w:val="both"/>
        <w:rPr>
          <w:w w:val="105"/>
        </w:rPr>
      </w:pPr>
      <w:r w:rsidRPr="00DF6229">
        <w:rPr>
          <w:w w:val="105"/>
        </w:rPr>
        <w:t xml:space="preserve">A strong EU development cooperation budget can help developing countries – and the international community – end extreme poverty by 2030. </w:t>
      </w:r>
      <w:r w:rsidR="00856FA0">
        <w:rPr>
          <w:w w:val="105"/>
        </w:rPr>
        <w:t xml:space="preserve">The </w:t>
      </w:r>
      <w:r w:rsidRPr="00DF6229">
        <w:rPr>
          <w:w w:val="105"/>
        </w:rPr>
        <w:t xml:space="preserve">EU’s </w:t>
      </w:r>
      <w:r w:rsidR="00856FA0">
        <w:rPr>
          <w:w w:val="105"/>
        </w:rPr>
        <w:t xml:space="preserve">ability to </w:t>
      </w:r>
      <w:r w:rsidR="00942749">
        <w:rPr>
          <w:w w:val="105"/>
        </w:rPr>
        <w:t xml:space="preserve">project </w:t>
      </w:r>
      <w:r w:rsidR="00942749" w:rsidRPr="00DF6229">
        <w:rPr>
          <w:w w:val="105"/>
        </w:rPr>
        <w:t>leadership</w:t>
      </w:r>
      <w:r w:rsidRPr="00DF6229">
        <w:rPr>
          <w:w w:val="105"/>
        </w:rPr>
        <w:t xml:space="preserve"> </w:t>
      </w:r>
      <w:r w:rsidR="00856FA0">
        <w:rPr>
          <w:w w:val="105"/>
        </w:rPr>
        <w:t xml:space="preserve">in global fora </w:t>
      </w:r>
      <w:r w:rsidRPr="00DF6229">
        <w:rPr>
          <w:w w:val="105"/>
        </w:rPr>
        <w:t xml:space="preserve">and </w:t>
      </w:r>
      <w:r w:rsidR="00856FA0">
        <w:rPr>
          <w:w w:val="105"/>
        </w:rPr>
        <w:t xml:space="preserve">exercise </w:t>
      </w:r>
      <w:r w:rsidRPr="00DF6229">
        <w:rPr>
          <w:w w:val="105"/>
        </w:rPr>
        <w:t>credibility in shaping sustainable development policy</w:t>
      </w:r>
      <w:r w:rsidR="00856FA0">
        <w:rPr>
          <w:w w:val="105"/>
        </w:rPr>
        <w:t xml:space="preserve"> depends on </w:t>
      </w:r>
      <w:r w:rsidR="00942749">
        <w:rPr>
          <w:w w:val="105"/>
        </w:rPr>
        <w:t>maintaining</w:t>
      </w:r>
      <w:r w:rsidRPr="00DF6229">
        <w:rPr>
          <w:w w:val="105"/>
        </w:rPr>
        <w:t xml:space="preserve"> the levels of EU external spending required to tackle long term challenges such as poverty, insecurity and climate change.</w:t>
      </w:r>
    </w:p>
    <w:p w14:paraId="3956D6AF" w14:textId="77777777" w:rsidR="00F9521B" w:rsidRDefault="00F9521B" w:rsidP="00D8347C">
      <w:pPr>
        <w:pStyle w:val="BodyText"/>
        <w:spacing w:line="276" w:lineRule="auto"/>
        <w:ind w:left="121" w:right="116"/>
        <w:jc w:val="both"/>
        <w:rPr>
          <w:w w:val="105"/>
        </w:rPr>
      </w:pPr>
    </w:p>
    <w:p w14:paraId="64974523" w14:textId="30456DBD" w:rsidR="00F9521B" w:rsidRPr="00F9521B" w:rsidRDefault="00F9521B">
      <w:pPr>
        <w:pStyle w:val="BodyText"/>
        <w:spacing w:line="276" w:lineRule="auto"/>
        <w:ind w:left="121" w:right="116"/>
        <w:jc w:val="both"/>
        <w:rPr>
          <w:w w:val="105"/>
        </w:rPr>
      </w:pPr>
      <w:r w:rsidRPr="00F9521B">
        <w:rPr>
          <w:w w:val="105"/>
        </w:rPr>
        <w:t xml:space="preserve">In proportion to other EU budget headings, Global Europe is one of the smallest in size, but one of the </w:t>
      </w:r>
      <w:r w:rsidR="00856FA0">
        <w:rPr>
          <w:w w:val="105"/>
        </w:rPr>
        <w:t xml:space="preserve">most visible </w:t>
      </w:r>
      <w:r w:rsidRPr="00F9521B">
        <w:rPr>
          <w:w w:val="105"/>
        </w:rPr>
        <w:t xml:space="preserve">in expressing European solidarity with </w:t>
      </w:r>
      <w:r w:rsidR="00856FA0">
        <w:rPr>
          <w:w w:val="105"/>
        </w:rPr>
        <w:t xml:space="preserve">people in poverty and </w:t>
      </w:r>
      <w:r w:rsidRPr="00F9521B">
        <w:rPr>
          <w:w w:val="105"/>
        </w:rPr>
        <w:t>crisis in the world. European citizens strongly support the EU’s humanitarian and development engagement outside Europe, which is regularly reflected in the Eurobarometer</w:t>
      </w:r>
      <w:r w:rsidR="00D8347C">
        <w:rPr>
          <w:rStyle w:val="FootnoteReference"/>
          <w:w w:val="105"/>
        </w:rPr>
        <w:footnoteReference w:id="1"/>
      </w:r>
      <w:r w:rsidRPr="00F9521B">
        <w:rPr>
          <w:w w:val="105"/>
        </w:rPr>
        <w:t xml:space="preserve">. Despite crisis within Europe, 85 % of European citizens support development assistance (with 67 % even advocating for an increase) and 90% support the EU’s humanitarian aid engagement.  </w:t>
      </w:r>
    </w:p>
    <w:p w14:paraId="3CCDDFFF" w14:textId="61324444" w:rsidR="004E1B58" w:rsidRPr="004E1B58" w:rsidRDefault="0054101A" w:rsidP="00CF37CD">
      <w:pPr>
        <w:spacing w:before="193" w:line="276" w:lineRule="auto"/>
        <w:ind w:left="121"/>
        <w:jc w:val="both"/>
        <w:rPr>
          <w:b/>
          <w:w w:val="105"/>
          <w:sz w:val="21"/>
        </w:rPr>
      </w:pPr>
      <w:r w:rsidDel="0054101A">
        <w:rPr>
          <w:w w:val="105"/>
        </w:rPr>
        <w:t xml:space="preserve"> </w:t>
      </w:r>
      <w:r w:rsidR="00816154">
        <w:rPr>
          <w:b/>
          <w:w w:val="105"/>
          <w:sz w:val="21"/>
        </w:rPr>
        <w:t>[insert name of national platform/</w:t>
      </w:r>
      <w:proofErr w:type="spellStart"/>
      <w:r w:rsidR="00816154">
        <w:rPr>
          <w:b/>
          <w:w w:val="105"/>
          <w:sz w:val="21"/>
        </w:rPr>
        <w:t>organisation</w:t>
      </w:r>
      <w:proofErr w:type="spellEnd"/>
      <w:r w:rsidR="00816154">
        <w:rPr>
          <w:b/>
          <w:w w:val="105"/>
          <w:sz w:val="21"/>
        </w:rPr>
        <w:t>]</w:t>
      </w:r>
      <w:r w:rsidR="00825FFD">
        <w:rPr>
          <w:b/>
          <w:w w:val="105"/>
          <w:sz w:val="21"/>
        </w:rPr>
        <w:t xml:space="preserve"> calls on EU Member States to:</w:t>
      </w:r>
    </w:p>
    <w:p w14:paraId="22C9BF13" w14:textId="61903586" w:rsidR="00A669A7" w:rsidRDefault="00A669A7" w:rsidP="00CF37CD">
      <w:pPr>
        <w:pStyle w:val="BodyText"/>
        <w:spacing w:line="276" w:lineRule="auto"/>
        <w:rPr>
          <w:b/>
          <w:sz w:val="32"/>
        </w:rPr>
      </w:pPr>
    </w:p>
    <w:p w14:paraId="2C532C81" w14:textId="57464BEC" w:rsidR="00CA2D07" w:rsidRDefault="00A669A7" w:rsidP="00CF37CD">
      <w:pPr>
        <w:pStyle w:val="ListParagraph"/>
        <w:numPr>
          <w:ilvl w:val="0"/>
          <w:numId w:val="1"/>
        </w:numPr>
        <w:tabs>
          <w:tab w:val="left" w:pos="482"/>
        </w:tabs>
        <w:spacing w:line="276" w:lineRule="auto"/>
        <w:ind w:right="0"/>
        <w:rPr>
          <w:b/>
          <w:sz w:val="21"/>
        </w:rPr>
      </w:pPr>
      <w:r>
        <w:rPr>
          <w:b/>
          <w:w w:val="105"/>
          <w:sz w:val="21"/>
        </w:rPr>
        <w:t>Signal strong EU ambition on development</w:t>
      </w:r>
      <w:r w:rsidR="00B7283D">
        <w:rPr>
          <w:b/>
          <w:w w:val="105"/>
          <w:sz w:val="21"/>
        </w:rPr>
        <w:t xml:space="preserve"> </w:t>
      </w:r>
      <w:r w:rsidR="00856FA0">
        <w:rPr>
          <w:b/>
          <w:w w:val="105"/>
          <w:sz w:val="21"/>
        </w:rPr>
        <w:t>cooperation</w:t>
      </w:r>
    </w:p>
    <w:p w14:paraId="6FD64D63" w14:textId="5E14F8F4" w:rsidR="00CF37CD" w:rsidRPr="002A77DC" w:rsidRDefault="007C743E" w:rsidP="00CF37CD">
      <w:pPr>
        <w:pStyle w:val="ListParagraph"/>
        <w:numPr>
          <w:ilvl w:val="1"/>
          <w:numId w:val="1"/>
        </w:numPr>
        <w:tabs>
          <w:tab w:val="left" w:pos="842"/>
        </w:tabs>
        <w:spacing w:before="48" w:line="276" w:lineRule="auto"/>
        <w:rPr>
          <w:sz w:val="21"/>
        </w:rPr>
      </w:pPr>
      <w:r>
        <w:rPr>
          <w:w w:val="105"/>
          <w:sz w:val="21"/>
        </w:rPr>
        <w:t>The</w:t>
      </w:r>
      <w:r w:rsidR="00825FFD">
        <w:rPr>
          <w:w w:val="105"/>
          <w:sz w:val="21"/>
        </w:rPr>
        <w:t xml:space="preserve"> EU </w:t>
      </w:r>
      <w:r>
        <w:rPr>
          <w:w w:val="105"/>
          <w:sz w:val="21"/>
        </w:rPr>
        <w:t>needs a</w:t>
      </w:r>
      <w:r w:rsidR="00A669A7">
        <w:rPr>
          <w:w w:val="105"/>
          <w:sz w:val="21"/>
        </w:rPr>
        <w:t>n external</w:t>
      </w:r>
      <w:r w:rsidR="00684937">
        <w:rPr>
          <w:w w:val="105"/>
          <w:sz w:val="21"/>
        </w:rPr>
        <w:t xml:space="preserve"> aid budget fit for purpose. This</w:t>
      </w:r>
      <w:r w:rsidR="00942749">
        <w:rPr>
          <w:w w:val="105"/>
          <w:sz w:val="21"/>
        </w:rPr>
        <w:t xml:space="preserve"> </w:t>
      </w:r>
      <w:r w:rsidR="00684937">
        <w:rPr>
          <w:w w:val="105"/>
          <w:sz w:val="21"/>
        </w:rPr>
        <w:t>E</w:t>
      </w:r>
      <w:r w:rsidR="009334BB">
        <w:rPr>
          <w:w w:val="105"/>
          <w:sz w:val="21"/>
        </w:rPr>
        <w:t>U Budget</w:t>
      </w:r>
      <w:r w:rsidR="00684937">
        <w:rPr>
          <w:w w:val="105"/>
          <w:sz w:val="21"/>
        </w:rPr>
        <w:t xml:space="preserve"> for</w:t>
      </w:r>
      <w:r w:rsidR="009334BB">
        <w:rPr>
          <w:w w:val="105"/>
          <w:sz w:val="21"/>
        </w:rPr>
        <w:t xml:space="preserve"> 2018 is the last budget with contribution</w:t>
      </w:r>
      <w:r w:rsidR="00684937">
        <w:rPr>
          <w:w w:val="105"/>
          <w:sz w:val="21"/>
        </w:rPr>
        <w:t>s</w:t>
      </w:r>
      <w:r w:rsidR="009334BB">
        <w:rPr>
          <w:w w:val="105"/>
          <w:sz w:val="21"/>
        </w:rPr>
        <w:t xml:space="preserve"> from all member states</w:t>
      </w:r>
      <w:r w:rsidR="00A669A7">
        <w:rPr>
          <w:w w:val="105"/>
          <w:sz w:val="21"/>
        </w:rPr>
        <w:t xml:space="preserve"> and which should signal the EU’s ability to meet its commitments and maintain its credibility to shape the Sustainable Development Agenda</w:t>
      </w:r>
      <w:r w:rsidR="002A77DC">
        <w:rPr>
          <w:w w:val="105"/>
          <w:sz w:val="21"/>
        </w:rPr>
        <w:t>.</w:t>
      </w:r>
    </w:p>
    <w:p w14:paraId="65849746" w14:textId="2AAC3F62" w:rsidR="0054101A" w:rsidRPr="00D8347C" w:rsidRDefault="0054101A" w:rsidP="00CF37CD">
      <w:pPr>
        <w:pStyle w:val="ListParagraph"/>
        <w:numPr>
          <w:ilvl w:val="1"/>
          <w:numId w:val="1"/>
        </w:numPr>
        <w:tabs>
          <w:tab w:val="left" w:pos="842"/>
        </w:tabs>
        <w:spacing w:before="48" w:line="276" w:lineRule="auto"/>
        <w:rPr>
          <w:sz w:val="21"/>
        </w:rPr>
      </w:pPr>
      <w:r w:rsidRPr="00DE7426">
        <w:t xml:space="preserve">The EU has </w:t>
      </w:r>
      <w:r>
        <w:t xml:space="preserve">also </w:t>
      </w:r>
      <w:r w:rsidRPr="002A77DC">
        <w:t>reaffirmed its commitment to provide 0.7% of GNI on Official Development Assistance by 2030.</w:t>
      </w:r>
      <w:r w:rsidRPr="002A77DC">
        <w:rPr>
          <w:rStyle w:val="FootnoteReference"/>
        </w:rPr>
        <w:footnoteReference w:id="2"/>
      </w:r>
      <w:r w:rsidRPr="002A77DC">
        <w:t xml:space="preserve"> EU Member States must therefore support a development cooperation budget in line with this ambition, rather than scaling back their commitment.</w:t>
      </w:r>
    </w:p>
    <w:p w14:paraId="42DE0AF0" w14:textId="77777777" w:rsidR="00CA2D07" w:rsidRDefault="00CA2D07">
      <w:pPr>
        <w:pStyle w:val="BodyText"/>
        <w:spacing w:before="2"/>
        <w:rPr>
          <w:sz w:val="27"/>
        </w:rPr>
      </w:pPr>
    </w:p>
    <w:p w14:paraId="5B566B75" w14:textId="54CC7CEA" w:rsidR="00CA2D07" w:rsidRPr="003F420F" w:rsidRDefault="003F420F" w:rsidP="00CF37CD">
      <w:pPr>
        <w:pStyle w:val="Heading1"/>
        <w:numPr>
          <w:ilvl w:val="0"/>
          <w:numId w:val="1"/>
        </w:numPr>
        <w:tabs>
          <w:tab w:val="left" w:pos="482"/>
        </w:tabs>
        <w:spacing w:line="276" w:lineRule="auto"/>
      </w:pPr>
      <w:r>
        <w:rPr>
          <w:w w:val="105"/>
        </w:rPr>
        <w:t xml:space="preserve">Maintain global </w:t>
      </w:r>
      <w:r w:rsidR="007C743E">
        <w:rPr>
          <w:w w:val="105"/>
        </w:rPr>
        <w:t xml:space="preserve">leadership on principled aid </w:t>
      </w:r>
    </w:p>
    <w:p w14:paraId="14806560" w14:textId="5434E81F" w:rsidR="00856FA0" w:rsidRDefault="003F420F" w:rsidP="00856FA0">
      <w:pPr>
        <w:pStyle w:val="ListParagraph"/>
        <w:numPr>
          <w:ilvl w:val="0"/>
          <w:numId w:val="5"/>
        </w:numPr>
        <w:spacing w:line="276" w:lineRule="auto"/>
      </w:pPr>
      <w:r>
        <w:t xml:space="preserve">The reorientation of EU aid towards the </w:t>
      </w:r>
      <w:proofErr w:type="spellStart"/>
      <w:r>
        <w:t>neighbouring</w:t>
      </w:r>
      <w:proofErr w:type="spellEnd"/>
      <w:r>
        <w:t xml:space="preserve"> countries</w:t>
      </w:r>
      <w:r w:rsidR="00B33D51">
        <w:t xml:space="preserve">, via the European </w:t>
      </w:r>
      <w:proofErr w:type="spellStart"/>
      <w:r w:rsidR="00B33D51">
        <w:t>Neighbourhood</w:t>
      </w:r>
      <w:proofErr w:type="spellEnd"/>
      <w:r w:rsidR="00B33D51">
        <w:t xml:space="preserve"> Instrument (ENI),</w:t>
      </w:r>
      <w:r>
        <w:t xml:space="preserve"> is undermining the global approach</w:t>
      </w:r>
      <w:r w:rsidR="00040070">
        <w:t xml:space="preserve"> of Heading 4</w:t>
      </w:r>
      <w:r>
        <w:t>.</w:t>
      </w:r>
      <w:r w:rsidR="007C743E">
        <w:t xml:space="preserve"> With t</w:t>
      </w:r>
      <w:r w:rsidR="00040070">
        <w:t xml:space="preserve">he disproportional increase of aid via ENI </w:t>
      </w:r>
      <w:r w:rsidR="00856FA0">
        <w:t>the EU is retreating</w:t>
      </w:r>
      <w:r w:rsidR="00040070">
        <w:t xml:space="preserve"> </w:t>
      </w:r>
      <w:r w:rsidR="00EE003A">
        <w:t xml:space="preserve">to </w:t>
      </w:r>
      <w:r w:rsidR="007C743E">
        <w:t xml:space="preserve">a </w:t>
      </w:r>
      <w:r w:rsidR="00EE003A">
        <w:t>regional po</w:t>
      </w:r>
      <w:r w:rsidR="00CC5F74">
        <w:t>wer status</w:t>
      </w:r>
      <w:r w:rsidR="007C743E">
        <w:t>, undermining the ambition of the</w:t>
      </w:r>
      <w:r w:rsidR="00CC5F74" w:rsidRPr="003F420F">
        <w:t xml:space="preserve"> Global Strategy</w:t>
      </w:r>
      <w:r w:rsidR="00CC5F74">
        <w:t>.</w:t>
      </w:r>
      <w:r w:rsidR="00CC5F74" w:rsidRPr="003F420F">
        <w:t xml:space="preserve"> </w:t>
      </w:r>
    </w:p>
    <w:p w14:paraId="4EADFACC" w14:textId="65E3DFCF" w:rsidR="00942749" w:rsidRDefault="00CC5F74" w:rsidP="00942749">
      <w:pPr>
        <w:pStyle w:val="ListParagraph"/>
        <w:numPr>
          <w:ilvl w:val="0"/>
          <w:numId w:val="5"/>
        </w:numPr>
        <w:spacing w:line="276" w:lineRule="auto"/>
      </w:pPr>
      <w:r>
        <w:t xml:space="preserve">The EU needs not only to be a global leader for development aid but also to </w:t>
      </w:r>
      <w:r w:rsidR="007C743E">
        <w:t>continue to be a standard setter in ensuring that development aid focuses on poverty eradication</w:t>
      </w:r>
      <w:r w:rsidR="00AF1B83">
        <w:t>,</w:t>
      </w:r>
      <w:r w:rsidR="007C743E">
        <w:t xml:space="preserve"> and that humanitarian aid goes </w:t>
      </w:r>
      <w:r>
        <w:t>impartiality where needs</w:t>
      </w:r>
      <w:r w:rsidR="007C743E">
        <w:t xml:space="preserve"> and suffering</w:t>
      </w:r>
      <w:r>
        <w:t xml:space="preserve"> are</w:t>
      </w:r>
      <w:r w:rsidR="00DF6229">
        <w:t xml:space="preserve"> greatest</w:t>
      </w:r>
      <w:r>
        <w:t>.</w:t>
      </w:r>
    </w:p>
    <w:p w14:paraId="4F80904F" w14:textId="349408CE" w:rsidR="00AF1B83" w:rsidRDefault="009322A1" w:rsidP="00942749">
      <w:pPr>
        <w:pStyle w:val="ListParagraph"/>
        <w:numPr>
          <w:ilvl w:val="0"/>
          <w:numId w:val="5"/>
        </w:numPr>
        <w:spacing w:line="276" w:lineRule="auto"/>
      </w:pPr>
      <w:r>
        <w:t>The EU should</w:t>
      </w:r>
      <w:r w:rsidR="00AF1B83">
        <w:t xml:space="preserve"> support the role of development assistance in key sectors which benefit the poorest and most excluded, such as human development (health, education and social protection), food security and nutrition; and support to people suffering in crises. </w:t>
      </w:r>
    </w:p>
    <w:p w14:paraId="63CD2437" w14:textId="77777777" w:rsidR="00942749" w:rsidRDefault="00942749" w:rsidP="00942749">
      <w:pPr>
        <w:spacing w:line="276" w:lineRule="auto"/>
        <w:rPr>
          <w:b/>
        </w:rPr>
      </w:pPr>
    </w:p>
    <w:p w14:paraId="15C7711F" w14:textId="71519363" w:rsidR="00A669A7" w:rsidRPr="00942749" w:rsidRDefault="00A669A7" w:rsidP="00942749">
      <w:pPr>
        <w:spacing w:line="276" w:lineRule="auto"/>
        <w:jc w:val="both"/>
      </w:pPr>
      <w:r w:rsidRPr="00942749">
        <w:rPr>
          <w:b/>
        </w:rPr>
        <w:t xml:space="preserve">This means concretely that we are asking you to </w:t>
      </w:r>
      <w:r w:rsidRPr="00942749">
        <w:rPr>
          <w:b/>
          <w:w w:val="105"/>
        </w:rPr>
        <w:t xml:space="preserve">reverse the cuts proposed in the Council’s position by supporting the European Parliament’s modest proposal for Heading 4, </w:t>
      </w:r>
      <w:r w:rsidRPr="00942749">
        <w:rPr>
          <w:b/>
          <w:i/>
          <w:w w:val="105"/>
        </w:rPr>
        <w:t xml:space="preserve">Global </w:t>
      </w:r>
      <w:r w:rsidRPr="00942749">
        <w:rPr>
          <w:b/>
          <w:i/>
          <w:w w:val="105"/>
        </w:rPr>
        <w:lastRenderedPageBreak/>
        <w:t>Europe</w:t>
      </w:r>
      <w:r w:rsidRPr="00942749">
        <w:rPr>
          <w:b/>
          <w:w w:val="105"/>
        </w:rPr>
        <w:t xml:space="preserve">, which increases the funds for Development and Cooperation Instrument (DCI), notably the allocations for human development (+ €12.5 </w:t>
      </w:r>
      <w:proofErr w:type="spellStart"/>
      <w:r w:rsidRPr="00942749">
        <w:rPr>
          <w:b/>
          <w:w w:val="105"/>
        </w:rPr>
        <w:t>mln</w:t>
      </w:r>
      <w:proofErr w:type="spellEnd"/>
      <w:r w:rsidRPr="00942749">
        <w:rPr>
          <w:b/>
          <w:w w:val="105"/>
        </w:rPr>
        <w:t xml:space="preserve">), food security and nutrition (+ € 12.5 </w:t>
      </w:r>
      <w:proofErr w:type="spellStart"/>
      <w:r w:rsidRPr="00942749">
        <w:rPr>
          <w:b/>
          <w:w w:val="105"/>
        </w:rPr>
        <w:t>mln</w:t>
      </w:r>
      <w:proofErr w:type="spellEnd"/>
      <w:r w:rsidRPr="00942749">
        <w:rPr>
          <w:b/>
          <w:w w:val="105"/>
        </w:rPr>
        <w:t xml:space="preserve">) and Humanitarian Aid (+ €38.1 </w:t>
      </w:r>
      <w:proofErr w:type="spellStart"/>
      <w:r w:rsidRPr="00942749">
        <w:rPr>
          <w:b/>
          <w:w w:val="105"/>
        </w:rPr>
        <w:t>mln</w:t>
      </w:r>
      <w:proofErr w:type="spellEnd"/>
      <w:r w:rsidRPr="00942749">
        <w:rPr>
          <w:b/>
          <w:w w:val="105"/>
        </w:rPr>
        <w:t xml:space="preserve">), </w:t>
      </w:r>
      <w:proofErr w:type="spellStart"/>
      <w:r w:rsidRPr="00942749">
        <w:rPr>
          <w:b/>
          <w:w w:val="105"/>
        </w:rPr>
        <w:t>recognising</w:t>
      </w:r>
      <w:proofErr w:type="spellEnd"/>
      <w:r w:rsidRPr="00942749">
        <w:rPr>
          <w:b/>
          <w:w w:val="105"/>
        </w:rPr>
        <w:t xml:space="preserve"> that needs are greater than ever.</w:t>
      </w:r>
    </w:p>
    <w:p w14:paraId="4E473115" w14:textId="77777777" w:rsidR="00CA2D07" w:rsidRDefault="00825FFD" w:rsidP="00CF37CD">
      <w:pPr>
        <w:pStyle w:val="BodyText"/>
        <w:spacing w:before="201" w:line="276" w:lineRule="auto"/>
        <w:ind w:left="101"/>
      </w:pPr>
      <w:r>
        <w:rPr>
          <w:w w:val="105"/>
        </w:rPr>
        <w:t>We urge you to act on these recommendations in yo</w:t>
      </w:r>
      <w:r w:rsidR="00EE003A">
        <w:rPr>
          <w:w w:val="105"/>
        </w:rPr>
        <w:t>ur negotiations on the EU’s 2018</w:t>
      </w:r>
      <w:r>
        <w:rPr>
          <w:w w:val="105"/>
        </w:rPr>
        <w:t xml:space="preserve"> budget, and would be happy to meet to discuss these proposals in detail.</w:t>
      </w:r>
    </w:p>
    <w:p w14:paraId="1C32E413" w14:textId="77777777" w:rsidR="00CA2D07" w:rsidRDefault="00CA2D07">
      <w:pPr>
        <w:pStyle w:val="BodyText"/>
        <w:rPr>
          <w:sz w:val="26"/>
        </w:rPr>
      </w:pPr>
    </w:p>
    <w:p w14:paraId="67646087" w14:textId="77777777" w:rsidR="00CA2D07" w:rsidRDefault="00CA2D07">
      <w:pPr>
        <w:pStyle w:val="BodyText"/>
        <w:spacing w:before="2"/>
        <w:rPr>
          <w:sz w:val="32"/>
        </w:rPr>
      </w:pPr>
    </w:p>
    <w:p w14:paraId="10D7FAA8" w14:textId="77777777" w:rsidR="00CA2D07" w:rsidRDefault="00825FFD">
      <w:pPr>
        <w:pStyle w:val="BodyText"/>
        <w:ind w:left="101"/>
      </w:pPr>
      <w:r>
        <w:rPr>
          <w:w w:val="105"/>
        </w:rPr>
        <w:t>Yours sincerely,</w:t>
      </w:r>
    </w:p>
    <w:sectPr w:rsidR="00CA2D07">
      <w:pgSz w:w="11910" w:h="16840"/>
      <w:pgMar w:top="1360" w:right="130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39BB3" w14:textId="77777777" w:rsidR="007839D7" w:rsidRDefault="007839D7" w:rsidP="00F9521B">
      <w:r>
        <w:separator/>
      </w:r>
    </w:p>
  </w:endnote>
  <w:endnote w:type="continuationSeparator" w:id="0">
    <w:p w14:paraId="221B688E" w14:textId="77777777" w:rsidR="007839D7" w:rsidRDefault="007839D7" w:rsidP="00F9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BC65F" w14:textId="77777777" w:rsidR="007839D7" w:rsidRDefault="007839D7" w:rsidP="00F9521B">
      <w:r>
        <w:separator/>
      </w:r>
    </w:p>
  </w:footnote>
  <w:footnote w:type="continuationSeparator" w:id="0">
    <w:p w14:paraId="1FE45BC6" w14:textId="77777777" w:rsidR="007839D7" w:rsidRDefault="007839D7" w:rsidP="00F9521B">
      <w:r>
        <w:continuationSeparator/>
      </w:r>
    </w:p>
  </w:footnote>
  <w:footnote w:id="1">
    <w:p w14:paraId="2617647A" w14:textId="4424E2D5" w:rsidR="00D8347C" w:rsidRDefault="00D834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8347C">
          <w:rPr>
            <w:rStyle w:val="Hyperlink"/>
          </w:rPr>
          <w:t>http://ec.europa.eu/malta/news/2015/12.01.2015_eyd_eurobarometer_en.htm</w:t>
        </w:r>
      </w:hyperlink>
    </w:p>
  </w:footnote>
  <w:footnote w:id="2">
    <w:p w14:paraId="2D085C1C" w14:textId="77777777" w:rsidR="0054101A" w:rsidRDefault="0054101A" w:rsidP="0054101A">
      <w:pPr>
        <w:pStyle w:val="FootnoteText"/>
        <w:ind w:left="125" w:hanging="125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 xml:space="preserve">Addis Ababa Action Agenda of the 3rd International Conference on Financing </w:t>
      </w:r>
      <w:proofErr w:type="gramStart"/>
      <w:r>
        <w:rPr>
          <w:sz w:val="18"/>
          <w:szCs w:val="18"/>
        </w:rPr>
        <w:t>For</w:t>
      </w:r>
      <w:proofErr w:type="gramEnd"/>
      <w:r>
        <w:rPr>
          <w:sz w:val="18"/>
          <w:szCs w:val="18"/>
        </w:rPr>
        <w:t xml:space="preserve"> Development, point 51. 13-16 July 2015 (http://www.un.org/esa/ffd/wp-content/uploads/2015/08/AAAA_Outcome.pdf)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D2BFA"/>
    <w:multiLevelType w:val="hybridMultilevel"/>
    <w:tmpl w:val="D3B8C972"/>
    <w:lvl w:ilvl="0" w:tplc="0EA4EAA2">
      <w:start w:val="1"/>
      <w:numFmt w:val="decimal"/>
      <w:lvlText w:val="%1)"/>
      <w:lvlJc w:val="left"/>
      <w:pPr>
        <w:ind w:left="720" w:hanging="360"/>
      </w:pPr>
      <w:rPr>
        <w:rFonts w:hint="default"/>
        <w:w w:val="105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16861"/>
    <w:multiLevelType w:val="hybridMultilevel"/>
    <w:tmpl w:val="2572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D0FD3"/>
    <w:multiLevelType w:val="hybridMultilevel"/>
    <w:tmpl w:val="84ECCAD0"/>
    <w:lvl w:ilvl="0" w:tplc="0809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3">
    <w:nsid w:val="54D77ADC"/>
    <w:multiLevelType w:val="hybridMultilevel"/>
    <w:tmpl w:val="73BEC4FE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4">
    <w:nsid w:val="64014E0C"/>
    <w:multiLevelType w:val="hybridMultilevel"/>
    <w:tmpl w:val="1B888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225DE"/>
    <w:multiLevelType w:val="hybridMultilevel"/>
    <w:tmpl w:val="FE9E8672"/>
    <w:lvl w:ilvl="0" w:tplc="686ECCAE">
      <w:start w:val="1"/>
      <w:numFmt w:val="decimal"/>
      <w:lvlText w:val="%1)"/>
      <w:lvlJc w:val="left"/>
      <w:pPr>
        <w:ind w:left="481" w:hanging="360"/>
      </w:pPr>
      <w:rPr>
        <w:rFonts w:hint="default"/>
        <w:spacing w:val="0"/>
        <w:w w:val="102"/>
      </w:rPr>
    </w:lvl>
    <w:lvl w:ilvl="1" w:tplc="EF4CF1AC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2"/>
        <w:sz w:val="21"/>
        <w:szCs w:val="21"/>
      </w:rPr>
    </w:lvl>
    <w:lvl w:ilvl="2" w:tplc="16F0327C">
      <w:numFmt w:val="bullet"/>
      <w:lvlText w:val="•"/>
      <w:lvlJc w:val="left"/>
      <w:pPr>
        <w:ind w:left="1776" w:hanging="360"/>
      </w:pPr>
      <w:rPr>
        <w:rFonts w:hint="default"/>
      </w:rPr>
    </w:lvl>
    <w:lvl w:ilvl="3" w:tplc="1CE292D8">
      <w:numFmt w:val="bullet"/>
      <w:lvlText w:val="•"/>
      <w:lvlJc w:val="left"/>
      <w:pPr>
        <w:ind w:left="2712" w:hanging="360"/>
      </w:pPr>
      <w:rPr>
        <w:rFonts w:hint="default"/>
      </w:rPr>
    </w:lvl>
    <w:lvl w:ilvl="4" w:tplc="E8B86696"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EFAA0154">
      <w:numFmt w:val="bullet"/>
      <w:lvlText w:val="•"/>
      <w:lvlJc w:val="left"/>
      <w:pPr>
        <w:ind w:left="4584" w:hanging="360"/>
      </w:pPr>
      <w:rPr>
        <w:rFonts w:hint="default"/>
      </w:rPr>
    </w:lvl>
    <w:lvl w:ilvl="6" w:tplc="6652B13A">
      <w:numFmt w:val="bullet"/>
      <w:lvlText w:val="•"/>
      <w:lvlJc w:val="left"/>
      <w:pPr>
        <w:ind w:left="5520" w:hanging="360"/>
      </w:pPr>
      <w:rPr>
        <w:rFonts w:hint="default"/>
      </w:rPr>
    </w:lvl>
    <w:lvl w:ilvl="7" w:tplc="9A88C722">
      <w:numFmt w:val="bullet"/>
      <w:lvlText w:val="•"/>
      <w:lvlJc w:val="left"/>
      <w:pPr>
        <w:ind w:left="6457" w:hanging="360"/>
      </w:pPr>
      <w:rPr>
        <w:rFonts w:hint="default"/>
      </w:rPr>
    </w:lvl>
    <w:lvl w:ilvl="8" w:tplc="D6B683C4">
      <w:numFmt w:val="bullet"/>
      <w:lvlText w:val="•"/>
      <w:lvlJc w:val="left"/>
      <w:pPr>
        <w:ind w:left="7393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07"/>
    <w:rsid w:val="00040070"/>
    <w:rsid w:val="00203107"/>
    <w:rsid w:val="002A77DC"/>
    <w:rsid w:val="002D75E6"/>
    <w:rsid w:val="003F420F"/>
    <w:rsid w:val="004878EF"/>
    <w:rsid w:val="004E1B58"/>
    <w:rsid w:val="0054101A"/>
    <w:rsid w:val="00684937"/>
    <w:rsid w:val="00695253"/>
    <w:rsid w:val="007839D7"/>
    <w:rsid w:val="0079649C"/>
    <w:rsid w:val="007C743E"/>
    <w:rsid w:val="00816154"/>
    <w:rsid w:val="00825FFD"/>
    <w:rsid w:val="00844BC1"/>
    <w:rsid w:val="00856FA0"/>
    <w:rsid w:val="00893DF0"/>
    <w:rsid w:val="008C0A2E"/>
    <w:rsid w:val="008C4154"/>
    <w:rsid w:val="00901280"/>
    <w:rsid w:val="00921867"/>
    <w:rsid w:val="009322A1"/>
    <w:rsid w:val="009334BB"/>
    <w:rsid w:val="00942749"/>
    <w:rsid w:val="009A5748"/>
    <w:rsid w:val="00A669A7"/>
    <w:rsid w:val="00A824AF"/>
    <w:rsid w:val="00AF1B83"/>
    <w:rsid w:val="00B33D51"/>
    <w:rsid w:val="00B7283D"/>
    <w:rsid w:val="00CA2D07"/>
    <w:rsid w:val="00CC5F74"/>
    <w:rsid w:val="00CF37CD"/>
    <w:rsid w:val="00CF77CC"/>
    <w:rsid w:val="00D20E76"/>
    <w:rsid w:val="00D34A01"/>
    <w:rsid w:val="00D8304C"/>
    <w:rsid w:val="00D8347C"/>
    <w:rsid w:val="00DB5006"/>
    <w:rsid w:val="00DF6229"/>
    <w:rsid w:val="00E26C19"/>
    <w:rsid w:val="00EE003A"/>
    <w:rsid w:val="00EE1C5D"/>
    <w:rsid w:val="00F639FF"/>
    <w:rsid w:val="00F9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4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1" w:hanging="360"/>
      <w:jc w:val="both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81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26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C1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C19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19"/>
    <w:rPr>
      <w:rFonts w:ascii="Segoe UI" w:eastAsia="Calibr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3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347C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34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8347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347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1" w:hanging="360"/>
      <w:jc w:val="both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81" w:right="11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26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C1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C19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C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19"/>
    <w:rPr>
      <w:rFonts w:ascii="Segoe UI" w:eastAsia="Calibr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34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347C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34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8347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34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malta/news/2015/12.01.2015_eyd_eurobarometer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1F21-EA6C-42E4-BC25-1B69716B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Croppi</dc:creator>
  <cp:lastModifiedBy>Lawrence Holmes</cp:lastModifiedBy>
  <cp:revision>2</cp:revision>
  <dcterms:created xsi:type="dcterms:W3CDTF">2017-11-13T15:45:00Z</dcterms:created>
  <dcterms:modified xsi:type="dcterms:W3CDTF">2017-11-13T15:45:00Z</dcterms:modified>
</cp:coreProperties>
</file>